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3E0C" w:rsidRDefault="00C43E0C">
      <w:pPr>
        <w:pStyle w:val="Standard"/>
        <w:jc w:val="center"/>
        <w:rPr>
          <w:rFonts w:ascii="Arial" w:eastAsia="Arial" w:hAnsi="Arial" w:cs="Arial"/>
          <w:b/>
          <w:color w:val="auto"/>
          <w:sz w:val="18"/>
          <w:szCs w:val="18"/>
          <w:u w:val="single"/>
          <w:lang w:val="es-ES"/>
        </w:rPr>
      </w:pPr>
    </w:p>
    <w:p w:rsidR="00C43E0C" w:rsidRPr="008643D8" w:rsidRDefault="0057788D">
      <w:pPr>
        <w:pStyle w:val="Standard"/>
        <w:jc w:val="center"/>
        <w:rPr>
          <w:rFonts w:ascii="Arial" w:eastAsia="Arial" w:hAnsi="Arial" w:cs="Arial"/>
          <w:b/>
          <w:color w:val="auto"/>
          <w:sz w:val="20"/>
          <w:szCs w:val="20"/>
          <w:u w:val="single"/>
          <w:lang w:val="es-ES"/>
        </w:rPr>
      </w:pPr>
      <w:r w:rsidRPr="008643D8">
        <w:rPr>
          <w:rFonts w:ascii="Arial" w:eastAsia="Arial" w:hAnsi="Arial" w:cs="Arial"/>
          <w:b/>
          <w:color w:val="auto"/>
          <w:sz w:val="20"/>
          <w:szCs w:val="20"/>
          <w:u w:val="single"/>
          <w:lang w:val="es-ES"/>
        </w:rPr>
        <w:t>ANEXO</w:t>
      </w:r>
      <w:r w:rsidR="00EF1F22" w:rsidRPr="008643D8">
        <w:rPr>
          <w:rFonts w:ascii="Arial" w:eastAsia="Arial" w:hAnsi="Arial" w:cs="Arial"/>
          <w:b/>
          <w:color w:val="auto"/>
          <w:sz w:val="20"/>
          <w:szCs w:val="20"/>
          <w:u w:val="single"/>
          <w:lang w:val="es-ES"/>
        </w:rPr>
        <w:t xml:space="preserve"> </w:t>
      </w:r>
      <w:r w:rsidR="00BB3891">
        <w:rPr>
          <w:rFonts w:ascii="Arial" w:eastAsia="Arial" w:hAnsi="Arial" w:cs="Arial"/>
          <w:b/>
          <w:color w:val="auto"/>
          <w:sz w:val="20"/>
          <w:szCs w:val="20"/>
          <w:u w:val="single"/>
          <w:lang w:val="es-ES"/>
        </w:rPr>
        <w:t>I</w:t>
      </w:r>
      <w:r w:rsidR="00EF1F22" w:rsidRPr="008643D8">
        <w:rPr>
          <w:rFonts w:ascii="Arial" w:eastAsia="Arial" w:hAnsi="Arial" w:cs="Arial"/>
          <w:b/>
          <w:color w:val="auto"/>
          <w:sz w:val="20"/>
          <w:szCs w:val="20"/>
          <w:u w:val="single"/>
          <w:lang w:val="es-ES"/>
        </w:rPr>
        <w:t>II</w:t>
      </w:r>
      <w:r w:rsidR="00785CB3" w:rsidRPr="008643D8">
        <w:rPr>
          <w:rFonts w:ascii="Arial" w:eastAsia="Arial" w:hAnsi="Arial" w:cs="Arial"/>
          <w:b/>
          <w:color w:val="auto"/>
          <w:sz w:val="20"/>
          <w:szCs w:val="20"/>
          <w:u w:val="single"/>
          <w:lang w:val="es-ES"/>
        </w:rPr>
        <w:t xml:space="preserve"> CUADRO</w:t>
      </w:r>
      <w:r w:rsidRPr="008643D8">
        <w:rPr>
          <w:rFonts w:ascii="Arial" w:eastAsia="Arial" w:hAnsi="Arial" w:cs="Arial"/>
          <w:b/>
          <w:color w:val="auto"/>
          <w:sz w:val="20"/>
          <w:szCs w:val="20"/>
          <w:u w:val="single"/>
          <w:lang w:val="es-ES"/>
        </w:rPr>
        <w:t xml:space="preserve"> RESUMEN </w:t>
      </w:r>
    </w:p>
    <w:p w:rsidR="00C43E0C" w:rsidRPr="008643D8" w:rsidRDefault="00C43E0C">
      <w:pPr>
        <w:pStyle w:val="Standard"/>
        <w:jc w:val="center"/>
        <w:rPr>
          <w:rFonts w:ascii="Arial" w:eastAsia="Arial" w:hAnsi="Arial" w:cs="Arial"/>
          <w:b/>
          <w:color w:val="auto"/>
          <w:sz w:val="20"/>
          <w:szCs w:val="20"/>
          <w:u w:val="single"/>
          <w:lang w:val="es-ES"/>
        </w:rPr>
      </w:pPr>
    </w:p>
    <w:p w:rsidR="00C43E0C" w:rsidRPr="008643D8" w:rsidRDefault="00B635D3">
      <w:pPr>
        <w:pStyle w:val="Standard"/>
        <w:jc w:val="center"/>
        <w:rPr>
          <w:rFonts w:ascii="Arial" w:eastAsia="Arial" w:hAnsi="Arial" w:cs="Arial"/>
          <w:b/>
          <w:color w:val="auto"/>
          <w:sz w:val="20"/>
          <w:szCs w:val="20"/>
          <w:u w:val="single"/>
          <w:lang w:val="es-ES"/>
        </w:rPr>
      </w:pPr>
      <w:r w:rsidRPr="008643D8">
        <w:rPr>
          <w:rFonts w:ascii="Arial" w:eastAsia="Arial" w:hAnsi="Arial" w:cs="Arial"/>
          <w:b/>
          <w:color w:val="auto"/>
          <w:sz w:val="20"/>
          <w:szCs w:val="20"/>
          <w:u w:val="single"/>
          <w:lang w:val="es-ES"/>
        </w:rPr>
        <w:t xml:space="preserve"> EXPEDIENTE  </w:t>
      </w:r>
      <w:r w:rsidR="00EF1F22" w:rsidRPr="008643D8">
        <w:rPr>
          <w:rFonts w:ascii="Arial" w:eastAsia="Arial" w:hAnsi="Arial" w:cs="Arial"/>
          <w:b/>
          <w:color w:val="auto"/>
          <w:sz w:val="20"/>
          <w:szCs w:val="20"/>
          <w:u w:val="single"/>
          <w:lang w:val="es-ES"/>
        </w:rPr>
        <w:t>89</w:t>
      </w:r>
      <w:r w:rsidRPr="008643D8">
        <w:rPr>
          <w:rFonts w:ascii="Arial" w:eastAsia="Arial" w:hAnsi="Arial" w:cs="Arial"/>
          <w:b/>
          <w:color w:val="auto"/>
          <w:sz w:val="20"/>
          <w:szCs w:val="20"/>
          <w:u w:val="single"/>
          <w:lang w:val="es-ES"/>
        </w:rPr>
        <w:t>/2020</w:t>
      </w:r>
    </w:p>
    <w:p w:rsidR="00785CB3" w:rsidRPr="008643D8" w:rsidRDefault="00785CB3">
      <w:pPr>
        <w:pStyle w:val="Standard"/>
        <w:jc w:val="center"/>
        <w:rPr>
          <w:rFonts w:ascii="Arial" w:eastAsia="Arial" w:hAnsi="Arial" w:cs="Arial"/>
          <w:b/>
          <w:color w:val="auto"/>
          <w:sz w:val="20"/>
          <w:szCs w:val="20"/>
          <w:u w:val="single"/>
          <w:lang w:val="es-ES"/>
        </w:rPr>
      </w:pPr>
    </w:p>
    <w:p w:rsidR="00C43E0C" w:rsidRPr="008643D8" w:rsidRDefault="00C43E0C">
      <w:pPr>
        <w:pStyle w:val="Standard"/>
        <w:jc w:val="center"/>
        <w:rPr>
          <w:rFonts w:ascii="Arial" w:eastAsia="Arial" w:hAnsi="Arial" w:cs="Arial"/>
          <w:b/>
          <w:color w:val="auto"/>
          <w:sz w:val="20"/>
          <w:szCs w:val="20"/>
          <w:u w:val="single"/>
          <w:lang w:val="es-ES"/>
        </w:rPr>
      </w:pPr>
    </w:p>
    <w:p w:rsidR="00C43E0C" w:rsidRPr="008643D8" w:rsidRDefault="0057788D">
      <w:pPr>
        <w:pStyle w:val="Standard"/>
        <w:jc w:val="center"/>
        <w:rPr>
          <w:rFonts w:ascii="Arial" w:eastAsia="Arial" w:hAnsi="Arial" w:cs="Arial"/>
          <w:b/>
          <w:color w:val="auto"/>
          <w:sz w:val="20"/>
          <w:szCs w:val="20"/>
          <w:u w:val="single"/>
          <w:lang w:val="es-ES"/>
        </w:rPr>
      </w:pPr>
      <w:r w:rsidRPr="008643D8">
        <w:rPr>
          <w:rFonts w:ascii="Arial" w:eastAsia="Arial" w:hAnsi="Arial" w:cs="Arial"/>
          <w:b/>
          <w:color w:val="auto"/>
          <w:sz w:val="20"/>
          <w:szCs w:val="20"/>
          <w:u w:val="single"/>
          <w:lang w:val="es-ES"/>
        </w:rPr>
        <w:t xml:space="preserve"> PENALIDADES POR EJECUCIÓN DEFECTUOSA:</w:t>
      </w:r>
    </w:p>
    <w:p w:rsidR="00C43E0C" w:rsidRPr="008643D8" w:rsidRDefault="00C43E0C">
      <w:pPr>
        <w:pStyle w:val="Standard"/>
        <w:jc w:val="both"/>
        <w:rPr>
          <w:rFonts w:ascii="Arial" w:eastAsia="Arial" w:hAnsi="Arial" w:cs="Arial"/>
          <w:b/>
          <w:color w:val="auto"/>
          <w:sz w:val="20"/>
          <w:szCs w:val="20"/>
          <w:lang w:val="es-ES"/>
        </w:rPr>
      </w:pPr>
    </w:p>
    <w:p w:rsidR="00C43E0C" w:rsidRPr="008643D8" w:rsidRDefault="00C43E0C">
      <w:pPr>
        <w:pStyle w:val="Standard"/>
        <w:jc w:val="both"/>
        <w:rPr>
          <w:rFonts w:ascii="Arial" w:eastAsia="Arial" w:hAnsi="Arial" w:cs="Arial"/>
          <w:sz w:val="20"/>
          <w:szCs w:val="20"/>
          <w:lang w:val="es-ES"/>
        </w:rPr>
      </w:pPr>
    </w:p>
    <w:p w:rsidR="00C43E0C" w:rsidRDefault="00C43E0C">
      <w:pPr>
        <w:pStyle w:val="Standard"/>
        <w:jc w:val="both"/>
        <w:rPr>
          <w:rFonts w:ascii="NewGoT" w:eastAsia="Arial" w:hAnsi="NewGoT" w:cs="Arial"/>
          <w:lang w:val="es-ES"/>
        </w:rPr>
      </w:pPr>
    </w:p>
    <w:p w:rsidR="008643D8" w:rsidRPr="008643D8" w:rsidRDefault="008643D8" w:rsidP="008643D8">
      <w:pPr>
        <w:overflowPunct w:val="0"/>
        <w:autoSpaceDE w:val="0"/>
        <w:spacing w:before="1"/>
        <w:ind w:right="-448"/>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Conforme a los artículos 192, 201 y 202 de la LCSP, a continuación, se señalan los supuestos de cumplimiento defectuoso de la prestación o incumplimiento de los compromisos asumidos, de las obligaciones en materia medioambiental y de las condiciones especiales de ejecución del contrato, a los efectos de imponer penalidades en la cuantía señalada en el citado apartado, la cual no podrá ser superior al 10 por ciento del presupuesto del contrato, IVA excluido, ni el total de las mismas superar el 50 por cien del precio del contrato.</w:t>
      </w:r>
    </w:p>
    <w:p w:rsidR="008643D8" w:rsidRPr="008643D8" w:rsidRDefault="008643D8" w:rsidP="008643D8">
      <w:pPr>
        <w:overflowPunct w:val="0"/>
        <w:autoSpaceDE w:val="0"/>
        <w:spacing w:before="1"/>
        <w:ind w:right="-448"/>
        <w:jc w:val="both"/>
        <w:rPr>
          <w:rFonts w:ascii="Arial" w:eastAsia="Times New Roman" w:hAnsi="Arial" w:cs="Arial"/>
          <w:color w:val="auto"/>
          <w:sz w:val="20"/>
          <w:szCs w:val="20"/>
          <w:lang w:val="es-ES" w:eastAsia="es-ES" w:bidi="ar-SA"/>
        </w:rPr>
      </w:pP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La adjudicataria podrá ser objeto de penalización por las faltas, entendidas como acciones u omisiones, que afecten a la prestación del servicio, estén relacionadas con aspectos esenciales regulados en el presente Pliego y afecten a la organización interna y al normal funcionamiento del servicio.</w:t>
      </w: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right="-449"/>
        <w:jc w:val="both"/>
        <w:rPr>
          <w:rFonts w:ascii="Arial" w:eastAsia="Arial" w:hAnsi="Arial" w:cs="Arial"/>
          <w:color w:val="auto"/>
          <w:sz w:val="20"/>
          <w:szCs w:val="20"/>
          <w:u w:val="single"/>
          <w:lang w:val="es-ES" w:eastAsia="es-ES" w:bidi="ar-SA"/>
        </w:rPr>
      </w:pPr>
      <w:r w:rsidRPr="008643D8">
        <w:rPr>
          <w:rFonts w:ascii="Arial" w:eastAsia="Arial" w:hAnsi="Arial" w:cs="Arial"/>
          <w:color w:val="auto"/>
          <w:sz w:val="20"/>
          <w:szCs w:val="20"/>
          <w:u w:val="single"/>
          <w:lang w:val="es-ES" w:eastAsia="es-ES" w:bidi="ar-SA"/>
        </w:rPr>
        <w:t>CLASIFICACIÓN DE LAS FALTAS</w:t>
      </w: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A estos efectos se clasifica el cumplimiento defectuoso de la prestación del servicio contratado en las siguientes faltas:</w:t>
      </w: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right="-449"/>
        <w:jc w:val="both"/>
        <w:rPr>
          <w:rFonts w:eastAsia="Times New Roman" w:cs="Times New Roman"/>
          <w:color w:val="auto"/>
          <w:sz w:val="22"/>
          <w:szCs w:val="22"/>
          <w:lang w:val="es-ES" w:eastAsia="es-ES" w:bidi="ar-SA"/>
        </w:rPr>
      </w:pPr>
      <w:r w:rsidRPr="008643D8">
        <w:rPr>
          <w:rFonts w:ascii="Arial" w:eastAsia="Arial" w:hAnsi="Arial" w:cs="Arial"/>
          <w:color w:val="auto"/>
          <w:sz w:val="20"/>
          <w:szCs w:val="20"/>
          <w:lang w:val="es-ES" w:eastAsia="es-ES" w:bidi="ar-SA"/>
        </w:rPr>
        <w:t xml:space="preserve">1) </w:t>
      </w:r>
      <w:r w:rsidRPr="008643D8">
        <w:rPr>
          <w:rFonts w:ascii="Arial" w:eastAsia="Arial" w:hAnsi="Arial" w:cs="Arial"/>
          <w:color w:val="auto"/>
          <w:sz w:val="20"/>
          <w:szCs w:val="20"/>
          <w:u w:val="single"/>
          <w:lang w:val="es-ES" w:eastAsia="es-ES" w:bidi="ar-SA"/>
        </w:rPr>
        <w:t>Faltas leves</w:t>
      </w: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Siempre que no constituyan infracciones graves o muy graves, tendrán la consideración de faltas leves:</w:t>
      </w: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a) Toda infracción leve prevista en el artículo 57.3</w:t>
      </w:r>
      <w:r w:rsidR="00EC6C2B">
        <w:rPr>
          <w:rFonts w:ascii="Arial" w:eastAsia="Arial" w:hAnsi="Arial" w:cs="Arial"/>
          <w:color w:val="auto"/>
          <w:sz w:val="20"/>
          <w:szCs w:val="20"/>
          <w:lang w:val="es-ES" w:eastAsia="es-ES" w:bidi="ar-SA"/>
        </w:rPr>
        <w:t>.b), c)</w:t>
      </w:r>
      <w:r w:rsidR="006819F0">
        <w:rPr>
          <w:rFonts w:ascii="Arial" w:eastAsia="Arial" w:hAnsi="Arial" w:cs="Arial"/>
          <w:color w:val="auto"/>
          <w:sz w:val="20"/>
          <w:szCs w:val="20"/>
          <w:lang w:val="es-ES" w:eastAsia="es-ES" w:bidi="ar-SA"/>
        </w:rPr>
        <w:t xml:space="preserve"> y d)</w:t>
      </w:r>
      <w:r w:rsidR="00EC6C2B">
        <w:rPr>
          <w:rFonts w:ascii="Arial" w:eastAsia="Arial" w:hAnsi="Arial" w:cs="Arial"/>
          <w:color w:val="auto"/>
          <w:sz w:val="20"/>
          <w:szCs w:val="20"/>
          <w:lang w:val="es-ES" w:eastAsia="es-ES" w:bidi="ar-SA"/>
        </w:rPr>
        <w:t xml:space="preserve"> </w:t>
      </w:r>
      <w:r w:rsidRPr="008643D8">
        <w:rPr>
          <w:rFonts w:ascii="Arial" w:eastAsia="Arial" w:hAnsi="Arial" w:cs="Arial"/>
          <w:color w:val="auto"/>
          <w:sz w:val="20"/>
          <w:szCs w:val="20"/>
          <w:lang w:val="es-ES" w:eastAsia="es-ES" w:bidi="ar-SA"/>
        </w:rPr>
        <w:t>(Infracciones de las empresas que desarrollen actividades de seguridad privada, de sus representantes legales, de los despachos de detectives privados y de las centrales de alarma de uso propio) de la Ley 5/2014, de 4 de abril, de Seguridad Privada.</w:t>
      </w: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b) Toda infracción leve prevista en el artículo 58.3</w:t>
      </w:r>
      <w:r w:rsidR="00EC6C2B">
        <w:rPr>
          <w:rFonts w:ascii="Arial" w:eastAsia="Arial" w:hAnsi="Arial" w:cs="Arial"/>
          <w:color w:val="auto"/>
          <w:sz w:val="20"/>
          <w:szCs w:val="20"/>
          <w:lang w:val="es-ES" w:eastAsia="es-ES" w:bidi="ar-SA"/>
        </w:rPr>
        <w:t>.d)</w:t>
      </w:r>
      <w:r w:rsidRPr="008643D8">
        <w:rPr>
          <w:rFonts w:ascii="Arial" w:eastAsia="Arial" w:hAnsi="Arial" w:cs="Arial"/>
          <w:color w:val="auto"/>
          <w:sz w:val="20"/>
          <w:szCs w:val="20"/>
          <w:lang w:val="es-ES" w:eastAsia="es-ES" w:bidi="ar-SA"/>
        </w:rPr>
        <w:t xml:space="preserve"> (Infracciones del personal que desempeñe funciones de seguridad privada) de la Ley 5/2014, de 4 de abril, de Seguridad Privada.</w:t>
      </w: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jc w:val="both"/>
        <w:rPr>
          <w:rFonts w:eastAsia="Times New Roman" w:cs="Times New Roman"/>
          <w:color w:val="auto"/>
          <w:sz w:val="22"/>
          <w:szCs w:val="22"/>
          <w:lang w:val="es-ES" w:eastAsia="es-ES" w:bidi="ar-SA"/>
        </w:rPr>
      </w:pPr>
      <w:r w:rsidRPr="008643D8">
        <w:rPr>
          <w:rFonts w:ascii="Arial" w:eastAsia="Arial" w:hAnsi="Arial" w:cs="Arial"/>
          <w:color w:val="auto"/>
          <w:sz w:val="20"/>
          <w:szCs w:val="20"/>
          <w:lang w:val="es-ES" w:eastAsia="es-ES" w:bidi="ar-SA"/>
        </w:rPr>
        <w:t xml:space="preserve">2) </w:t>
      </w:r>
      <w:r w:rsidRPr="008643D8">
        <w:rPr>
          <w:rFonts w:ascii="Arial" w:eastAsia="Arial" w:hAnsi="Arial" w:cs="Arial"/>
          <w:color w:val="auto"/>
          <w:sz w:val="20"/>
          <w:szCs w:val="20"/>
          <w:u w:val="single"/>
          <w:lang w:val="es-ES" w:eastAsia="es-ES" w:bidi="ar-SA"/>
        </w:rPr>
        <w:t>Faltas graves</w:t>
      </w:r>
    </w:p>
    <w:p w:rsidR="008643D8" w:rsidRPr="008643D8" w:rsidRDefault="008643D8" w:rsidP="008643D8">
      <w:pPr>
        <w:overflowPunct w:val="0"/>
        <w:autoSpaceDE w:val="0"/>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Siempre que no constituyan infracciones muy graves, tendrán la consideración de faltas graves:</w:t>
      </w:r>
    </w:p>
    <w:p w:rsidR="008643D8" w:rsidRPr="008643D8" w:rsidRDefault="008643D8" w:rsidP="008643D8">
      <w:pPr>
        <w:overflowPunct w:val="0"/>
        <w:autoSpaceDE w:val="0"/>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left="284"/>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a) La acumulación de tres faltas leves de distinta naturaleza en un plazo de treinta días naturales.</w:t>
      </w: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p>
    <w:p w:rsidR="008643D8" w:rsidRPr="008643D8" w:rsidRDefault="001C21BF" w:rsidP="008643D8">
      <w:pPr>
        <w:overflowPunct w:val="0"/>
        <w:autoSpaceDE w:val="0"/>
        <w:ind w:left="284" w:right="-449"/>
        <w:jc w:val="both"/>
        <w:rPr>
          <w:rFonts w:ascii="Arial" w:eastAsia="Arial" w:hAnsi="Arial" w:cs="Arial"/>
          <w:color w:val="auto"/>
          <w:sz w:val="20"/>
          <w:szCs w:val="20"/>
          <w:lang w:val="es-ES" w:eastAsia="es-ES" w:bidi="ar-SA"/>
        </w:rPr>
      </w:pPr>
      <w:r>
        <w:rPr>
          <w:rFonts w:ascii="Arial" w:eastAsia="Arial" w:hAnsi="Arial" w:cs="Arial"/>
          <w:color w:val="auto"/>
          <w:sz w:val="20"/>
          <w:szCs w:val="20"/>
          <w:lang w:val="es-ES" w:eastAsia="es-ES" w:bidi="ar-SA"/>
        </w:rPr>
        <w:t>b</w:t>
      </w:r>
      <w:r w:rsidR="008643D8" w:rsidRPr="008643D8">
        <w:rPr>
          <w:rFonts w:ascii="Arial" w:eastAsia="Arial" w:hAnsi="Arial" w:cs="Arial"/>
          <w:color w:val="auto"/>
          <w:sz w:val="20"/>
          <w:szCs w:val="20"/>
          <w:lang w:val="es-ES" w:eastAsia="es-ES" w:bidi="ar-SA"/>
        </w:rPr>
        <w:t>) Toda infracción grave prevista en el artículo 57.2 (Infracciones de las empresas que desarrollen actividades de seguridad privada, de sus representantes legales, de los despachos de detectives privados y de las centrales de alarma de uso propio) de la Ley 5/2014, de 4 de abril, de Seguridad Privada</w:t>
      </w:r>
      <w:bookmarkStart w:id="0" w:name="_Hlk137799488"/>
      <w:r w:rsidR="00D81097">
        <w:rPr>
          <w:rFonts w:ascii="Arial" w:eastAsia="Arial" w:hAnsi="Arial" w:cs="Arial"/>
          <w:color w:val="auto"/>
          <w:sz w:val="20"/>
          <w:szCs w:val="20"/>
          <w:lang w:val="es-ES" w:eastAsia="es-ES" w:bidi="ar-SA"/>
        </w:rPr>
        <w:t xml:space="preserve">, </w:t>
      </w:r>
      <w:bookmarkStart w:id="1" w:name="_Hlk137798542"/>
      <w:r w:rsidR="00D81097">
        <w:rPr>
          <w:rFonts w:ascii="Arial" w:eastAsia="Arial" w:hAnsi="Arial" w:cs="Arial"/>
          <w:color w:val="auto"/>
          <w:sz w:val="20"/>
          <w:szCs w:val="20"/>
          <w:lang w:val="es-ES" w:eastAsia="es-ES" w:bidi="ar-SA"/>
        </w:rPr>
        <w:t>que esté relacionada con el objeto del contrato y que no sea evaluada como requisito de calidad conforme a lo establecido en el punto 15.1 del PPT</w:t>
      </w:r>
      <w:r w:rsidR="008643D8" w:rsidRPr="008643D8">
        <w:rPr>
          <w:rFonts w:ascii="Arial" w:eastAsia="Arial" w:hAnsi="Arial" w:cs="Arial"/>
          <w:color w:val="auto"/>
          <w:sz w:val="20"/>
          <w:szCs w:val="20"/>
          <w:lang w:val="es-ES" w:eastAsia="es-ES" w:bidi="ar-SA"/>
        </w:rPr>
        <w:t>.</w:t>
      </w:r>
    </w:p>
    <w:bookmarkEnd w:id="1"/>
    <w:bookmarkEnd w:id="0"/>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p>
    <w:p w:rsidR="008643D8" w:rsidRDefault="001C21BF" w:rsidP="008643D8">
      <w:pPr>
        <w:overflowPunct w:val="0"/>
        <w:autoSpaceDE w:val="0"/>
        <w:ind w:left="284" w:right="-449"/>
        <w:jc w:val="both"/>
        <w:rPr>
          <w:rFonts w:ascii="Arial" w:eastAsia="Arial" w:hAnsi="Arial" w:cs="Arial"/>
          <w:color w:val="auto"/>
          <w:sz w:val="20"/>
          <w:szCs w:val="20"/>
          <w:lang w:val="es-ES" w:eastAsia="es-ES" w:bidi="ar-SA"/>
        </w:rPr>
      </w:pPr>
      <w:r>
        <w:rPr>
          <w:rFonts w:ascii="Arial" w:eastAsia="Arial" w:hAnsi="Arial" w:cs="Arial"/>
          <w:color w:val="auto"/>
          <w:sz w:val="20"/>
          <w:szCs w:val="20"/>
          <w:lang w:val="es-ES" w:eastAsia="es-ES" w:bidi="ar-SA"/>
        </w:rPr>
        <w:t>c</w:t>
      </w:r>
      <w:r w:rsidR="008643D8" w:rsidRPr="008643D8">
        <w:rPr>
          <w:rFonts w:ascii="Arial" w:eastAsia="Arial" w:hAnsi="Arial" w:cs="Arial"/>
          <w:color w:val="auto"/>
          <w:sz w:val="20"/>
          <w:szCs w:val="20"/>
          <w:lang w:val="es-ES" w:eastAsia="es-ES" w:bidi="ar-SA"/>
        </w:rPr>
        <w:t>) Toda infracción grave prevista en el artículo 58.2 (Infracciones del personal que desempeñe funciones de seguridad privada) de la Ley 5/2014, de 4 de abril, de Seguridad Privada</w:t>
      </w:r>
      <w:r w:rsidR="00062D15">
        <w:rPr>
          <w:rFonts w:ascii="Arial" w:eastAsia="Arial" w:hAnsi="Arial" w:cs="Arial"/>
          <w:color w:val="auto"/>
          <w:sz w:val="20"/>
          <w:szCs w:val="20"/>
          <w:lang w:val="es-ES" w:eastAsia="es-ES" w:bidi="ar-SA"/>
        </w:rPr>
        <w:t xml:space="preserve">, </w:t>
      </w:r>
      <w:r w:rsidR="00062D15" w:rsidRPr="00062D15">
        <w:rPr>
          <w:rFonts w:ascii="Arial" w:eastAsia="Arial" w:hAnsi="Arial" w:cs="Arial"/>
          <w:color w:val="auto"/>
          <w:sz w:val="20"/>
          <w:szCs w:val="20"/>
          <w:lang w:val="es-ES" w:eastAsia="es-ES" w:bidi="ar-SA"/>
        </w:rPr>
        <w:t>que esté relacionada con el objeto del contrato y que no sea evaluada como requisito de calidad conforme a lo establecido en el punto 15.1 del PPT.</w:t>
      </w:r>
      <w:r w:rsidR="00062D15">
        <w:rPr>
          <w:rFonts w:ascii="Arial" w:eastAsia="Arial" w:hAnsi="Arial" w:cs="Arial"/>
          <w:color w:val="auto"/>
          <w:sz w:val="20"/>
          <w:szCs w:val="20"/>
          <w:lang w:val="es-ES" w:eastAsia="es-ES" w:bidi="ar-SA"/>
        </w:rPr>
        <w:t xml:space="preserve"> </w:t>
      </w:r>
    </w:p>
    <w:p w:rsidR="001C21BF" w:rsidRPr="008643D8" w:rsidRDefault="001C21BF" w:rsidP="008643D8">
      <w:pPr>
        <w:overflowPunct w:val="0"/>
        <w:autoSpaceDE w:val="0"/>
        <w:ind w:left="284"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jc w:val="both"/>
        <w:rPr>
          <w:rFonts w:eastAsia="Times New Roman" w:cs="Times New Roman"/>
          <w:color w:val="auto"/>
          <w:sz w:val="22"/>
          <w:szCs w:val="22"/>
          <w:lang w:val="es-ES" w:eastAsia="es-ES" w:bidi="ar-SA"/>
        </w:rPr>
      </w:pPr>
      <w:r w:rsidRPr="008643D8">
        <w:rPr>
          <w:rFonts w:ascii="Arial" w:eastAsia="Arial" w:hAnsi="Arial" w:cs="Arial"/>
          <w:color w:val="auto"/>
          <w:sz w:val="20"/>
          <w:szCs w:val="20"/>
          <w:lang w:val="es-ES" w:eastAsia="es-ES" w:bidi="ar-SA"/>
        </w:rPr>
        <w:lastRenderedPageBreak/>
        <w:t xml:space="preserve">3) </w:t>
      </w:r>
      <w:r w:rsidRPr="008643D8">
        <w:rPr>
          <w:rFonts w:ascii="Arial" w:eastAsia="Arial" w:hAnsi="Arial" w:cs="Arial"/>
          <w:color w:val="auto"/>
          <w:sz w:val="20"/>
          <w:szCs w:val="20"/>
          <w:u w:val="single"/>
          <w:lang w:val="es-ES" w:eastAsia="es-ES" w:bidi="ar-SA"/>
        </w:rPr>
        <w:t>Faltas muy graves</w:t>
      </w:r>
    </w:p>
    <w:p w:rsidR="008643D8" w:rsidRPr="008643D8" w:rsidRDefault="008643D8" w:rsidP="008643D8">
      <w:pPr>
        <w:overflowPunct w:val="0"/>
        <w:autoSpaceDE w:val="0"/>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Tendrán la consideración de faltas muy graves:</w:t>
      </w:r>
    </w:p>
    <w:p w:rsidR="008643D8" w:rsidRPr="008643D8" w:rsidRDefault="008643D8" w:rsidP="008643D8">
      <w:pPr>
        <w:overflowPunct w:val="0"/>
        <w:autoSpaceDE w:val="0"/>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left="284"/>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a) La acumulación de tres faltas graves en un periodo de dos meses.</w:t>
      </w:r>
    </w:p>
    <w:p w:rsidR="008643D8" w:rsidRPr="008643D8" w:rsidRDefault="008643D8" w:rsidP="008643D8">
      <w:pPr>
        <w:overflowPunct w:val="0"/>
        <w:autoSpaceDE w:val="0"/>
        <w:ind w:left="284"/>
        <w:jc w:val="both"/>
        <w:rPr>
          <w:rFonts w:ascii="Arial" w:eastAsia="Arial" w:hAnsi="Arial" w:cs="Arial"/>
          <w:color w:val="auto"/>
          <w:sz w:val="20"/>
          <w:szCs w:val="20"/>
          <w:lang w:val="es-ES" w:eastAsia="es-ES" w:bidi="ar-SA"/>
        </w:rPr>
      </w:pPr>
    </w:p>
    <w:p w:rsidR="008643D8" w:rsidRPr="008643D8" w:rsidRDefault="008D7571" w:rsidP="008643D8">
      <w:pPr>
        <w:overflowPunct w:val="0"/>
        <w:autoSpaceDE w:val="0"/>
        <w:ind w:left="284" w:right="-449"/>
        <w:jc w:val="both"/>
        <w:rPr>
          <w:rFonts w:ascii="Arial" w:eastAsia="Arial" w:hAnsi="Arial" w:cs="Arial"/>
          <w:color w:val="auto"/>
          <w:sz w:val="20"/>
          <w:szCs w:val="20"/>
          <w:lang w:val="es-ES" w:eastAsia="es-ES" w:bidi="ar-SA"/>
        </w:rPr>
      </w:pPr>
      <w:r>
        <w:rPr>
          <w:rFonts w:ascii="Arial" w:eastAsia="Arial" w:hAnsi="Arial" w:cs="Arial"/>
          <w:color w:val="auto"/>
          <w:sz w:val="20"/>
          <w:szCs w:val="20"/>
          <w:lang w:val="es-ES" w:eastAsia="es-ES" w:bidi="ar-SA"/>
        </w:rPr>
        <w:t>b</w:t>
      </w:r>
      <w:r w:rsidR="008643D8" w:rsidRPr="008643D8">
        <w:rPr>
          <w:rFonts w:ascii="Arial" w:eastAsia="Arial" w:hAnsi="Arial" w:cs="Arial"/>
          <w:color w:val="auto"/>
          <w:sz w:val="20"/>
          <w:szCs w:val="20"/>
          <w:lang w:val="es-ES" w:eastAsia="es-ES" w:bidi="ar-SA"/>
        </w:rPr>
        <w:t>) Toda infracción muy grave prevista en el artículo 57.1</w:t>
      </w:r>
      <w:r>
        <w:rPr>
          <w:rFonts w:ascii="Arial" w:eastAsia="Arial" w:hAnsi="Arial" w:cs="Arial"/>
          <w:color w:val="auto"/>
          <w:sz w:val="20"/>
          <w:szCs w:val="20"/>
          <w:lang w:val="es-ES" w:eastAsia="es-ES" w:bidi="ar-SA"/>
        </w:rPr>
        <w:t xml:space="preserve"> </w:t>
      </w:r>
      <w:r w:rsidR="008643D8" w:rsidRPr="008643D8">
        <w:rPr>
          <w:rFonts w:ascii="Arial" w:eastAsia="Arial" w:hAnsi="Arial" w:cs="Arial"/>
          <w:color w:val="auto"/>
          <w:sz w:val="20"/>
          <w:szCs w:val="20"/>
          <w:lang w:val="es-ES" w:eastAsia="es-ES" w:bidi="ar-SA"/>
        </w:rPr>
        <w:t>(Infracciones de las empresas que desarrollen actividades de seguridad privada, de sus representantes legales, de los despachos de detectives privados y de las centrales de alarma de uso propio) de la Ley 5/2014, de 4 de abril, de Seguridad Privada</w:t>
      </w:r>
      <w:r>
        <w:rPr>
          <w:rFonts w:ascii="Arial" w:eastAsia="Arial" w:hAnsi="Arial" w:cs="Arial"/>
          <w:color w:val="auto"/>
          <w:sz w:val="20"/>
          <w:szCs w:val="20"/>
          <w:lang w:val="es-ES" w:eastAsia="es-ES" w:bidi="ar-SA"/>
        </w:rPr>
        <w:t>,</w:t>
      </w:r>
      <w:r w:rsidRPr="008D7571">
        <w:rPr>
          <w:rFonts w:ascii="Arial" w:eastAsia="Arial" w:hAnsi="Arial" w:cs="Arial"/>
          <w:color w:val="auto"/>
          <w:sz w:val="20"/>
          <w:szCs w:val="20"/>
          <w:lang w:val="es-ES" w:eastAsia="es-ES" w:bidi="ar-SA"/>
        </w:rPr>
        <w:t xml:space="preserve"> que esté relacionada con el objeto del contrato y que no sea evaluada como requisito de calidad conforme a lo establecido en el punto 15.1 del PPT.</w:t>
      </w: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p>
    <w:p w:rsidR="008643D8" w:rsidRPr="008643D8" w:rsidRDefault="008D7571" w:rsidP="008643D8">
      <w:pPr>
        <w:overflowPunct w:val="0"/>
        <w:autoSpaceDE w:val="0"/>
        <w:ind w:left="284" w:right="-449"/>
        <w:jc w:val="both"/>
        <w:rPr>
          <w:rFonts w:ascii="Arial" w:eastAsia="Arial" w:hAnsi="Arial" w:cs="Arial"/>
          <w:color w:val="auto"/>
          <w:sz w:val="20"/>
          <w:szCs w:val="20"/>
          <w:lang w:val="es-ES" w:eastAsia="es-ES" w:bidi="ar-SA"/>
        </w:rPr>
      </w:pPr>
      <w:r>
        <w:rPr>
          <w:rFonts w:ascii="Arial" w:eastAsia="Arial" w:hAnsi="Arial" w:cs="Arial"/>
          <w:color w:val="auto"/>
          <w:sz w:val="20"/>
          <w:szCs w:val="20"/>
          <w:lang w:val="es-ES" w:eastAsia="es-ES" w:bidi="ar-SA"/>
        </w:rPr>
        <w:t>c</w:t>
      </w:r>
      <w:r w:rsidR="008643D8" w:rsidRPr="008643D8">
        <w:rPr>
          <w:rFonts w:ascii="Arial" w:eastAsia="Arial" w:hAnsi="Arial" w:cs="Arial"/>
          <w:color w:val="auto"/>
          <w:sz w:val="20"/>
          <w:szCs w:val="20"/>
          <w:lang w:val="es-ES" w:eastAsia="es-ES" w:bidi="ar-SA"/>
        </w:rPr>
        <w:t>) Toda infracción muy grave prevista en el artículo 58.</w:t>
      </w:r>
      <w:r w:rsidR="008643D8" w:rsidRPr="00833865">
        <w:rPr>
          <w:rFonts w:ascii="Arial" w:eastAsia="Arial" w:hAnsi="Arial" w:cs="Arial"/>
          <w:color w:val="auto"/>
          <w:sz w:val="20"/>
          <w:szCs w:val="20"/>
          <w:lang w:val="es-ES" w:eastAsia="es-ES" w:bidi="ar-SA"/>
        </w:rPr>
        <w:t xml:space="preserve">1 </w:t>
      </w:r>
      <w:r w:rsidR="00833865">
        <w:rPr>
          <w:rFonts w:ascii="Arial" w:eastAsia="Arial" w:hAnsi="Arial" w:cs="Arial"/>
          <w:color w:val="auto"/>
          <w:sz w:val="20"/>
          <w:szCs w:val="20"/>
          <w:lang w:val="es-ES" w:eastAsia="es-ES" w:bidi="ar-SA"/>
        </w:rPr>
        <w:t xml:space="preserve">excepto </w:t>
      </w:r>
      <w:r w:rsidR="008643D8" w:rsidRPr="00833865">
        <w:rPr>
          <w:rFonts w:ascii="Arial" w:eastAsia="Arial" w:hAnsi="Arial" w:cs="Arial"/>
          <w:color w:val="auto"/>
          <w:sz w:val="20"/>
          <w:szCs w:val="20"/>
          <w:lang w:val="es-ES" w:eastAsia="es-ES" w:bidi="ar-SA"/>
        </w:rPr>
        <w:t>(Infracciones del personal que desempeñe funciones de seguridad privada) de la Ley 5/2014, de 4 de abril, de</w:t>
      </w:r>
      <w:r w:rsidR="008643D8" w:rsidRPr="008643D8">
        <w:rPr>
          <w:rFonts w:ascii="Arial" w:eastAsia="Arial" w:hAnsi="Arial" w:cs="Arial"/>
          <w:color w:val="auto"/>
          <w:sz w:val="20"/>
          <w:szCs w:val="20"/>
          <w:lang w:val="es-ES" w:eastAsia="es-ES" w:bidi="ar-SA"/>
        </w:rPr>
        <w:t xml:space="preserve"> Seguridad Privada</w:t>
      </w:r>
      <w:r>
        <w:rPr>
          <w:rFonts w:ascii="Arial" w:eastAsia="Arial" w:hAnsi="Arial" w:cs="Arial"/>
          <w:color w:val="auto"/>
          <w:sz w:val="20"/>
          <w:szCs w:val="20"/>
          <w:lang w:val="es-ES" w:eastAsia="es-ES" w:bidi="ar-SA"/>
        </w:rPr>
        <w:t>,</w:t>
      </w:r>
      <w:r w:rsidRPr="008D7571">
        <w:rPr>
          <w:rFonts w:ascii="Arial" w:eastAsia="Arial" w:hAnsi="Arial" w:cs="Arial"/>
          <w:color w:val="auto"/>
          <w:sz w:val="20"/>
          <w:szCs w:val="20"/>
          <w:lang w:val="es-ES" w:eastAsia="es-ES" w:bidi="ar-SA"/>
        </w:rPr>
        <w:t xml:space="preserve"> que esté relacionada con el objeto del contrato y que no sea evaluada como requisito de calidad conforme a lo establecido en el punto 15.1 del PPT.</w:t>
      </w:r>
      <w:r>
        <w:rPr>
          <w:rFonts w:ascii="Arial" w:eastAsia="Arial" w:hAnsi="Arial" w:cs="Arial"/>
          <w:color w:val="auto"/>
          <w:sz w:val="20"/>
          <w:szCs w:val="20"/>
          <w:lang w:val="es-ES" w:eastAsia="es-ES" w:bidi="ar-SA"/>
        </w:rPr>
        <w:t xml:space="preserve"> </w:t>
      </w: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right="-449"/>
        <w:jc w:val="both"/>
        <w:rPr>
          <w:rFonts w:ascii="Arial" w:eastAsia="Arial" w:hAnsi="Arial" w:cs="Arial"/>
          <w:color w:val="auto"/>
          <w:sz w:val="20"/>
          <w:szCs w:val="20"/>
          <w:u w:val="single"/>
          <w:lang w:val="es-ES" w:eastAsia="es-ES" w:bidi="ar-SA"/>
        </w:rPr>
      </w:pPr>
      <w:r w:rsidRPr="008643D8">
        <w:rPr>
          <w:rFonts w:ascii="Arial" w:eastAsia="Arial" w:hAnsi="Arial" w:cs="Arial"/>
          <w:color w:val="auto"/>
          <w:sz w:val="20"/>
          <w:szCs w:val="20"/>
          <w:u w:val="single"/>
          <w:lang w:val="es-ES" w:eastAsia="es-ES" w:bidi="ar-SA"/>
        </w:rPr>
        <w:t>Cuantía de las penalidades por cumplimiento defectuoso</w:t>
      </w: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En el caso de que, tras la tramitación prevista por incumplimientos la Administración optara por la imposición de penalidades, éstas consistirán en una deducción en la facturación, de un importe que se calculará de la siguiente forma:</w:t>
      </w: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Faltas leves: No tendrán una penalización económica, aparte de la disminución aplicable del "Plus de Calidad".</w:t>
      </w: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Faltas graves: 5% del importe mensual del precio de adjudicación del Contrato.</w:t>
      </w: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left="284"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Faltas muy graves: 10% del importe mensual del precio de adjudicación del Contrato.</w:t>
      </w: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p>
    <w:p w:rsidR="008643D8" w:rsidRPr="008643D8" w:rsidRDefault="008643D8" w:rsidP="008643D8">
      <w:pPr>
        <w:overflowPunct w:val="0"/>
        <w:autoSpaceDE w:val="0"/>
        <w:ind w:right="-449"/>
        <w:jc w:val="both"/>
        <w:rPr>
          <w:rFonts w:ascii="Arial" w:eastAsia="Arial" w:hAnsi="Arial" w:cs="Arial"/>
          <w:color w:val="auto"/>
          <w:sz w:val="20"/>
          <w:szCs w:val="20"/>
          <w:lang w:val="es-ES" w:eastAsia="es-ES" w:bidi="ar-SA"/>
        </w:rPr>
      </w:pPr>
      <w:r w:rsidRPr="008643D8">
        <w:rPr>
          <w:rFonts w:ascii="Arial" w:eastAsia="Arial" w:hAnsi="Arial" w:cs="Arial"/>
          <w:color w:val="auto"/>
          <w:sz w:val="20"/>
          <w:szCs w:val="20"/>
          <w:lang w:val="es-ES" w:eastAsia="es-ES" w:bidi="ar-SA"/>
        </w:rPr>
        <w:t>Si bien se podrá acumular más de un incumplimiento para un determinado periodo, la acumulación total de penalidades por cumplimiento defectuoso del Contrato no podrá superar el 10% del precio de adjudicación del Contrato IVA excluido, sin que el total de las mismas puedan superan el 50% del precio del contrato.</w:t>
      </w:r>
    </w:p>
    <w:p w:rsidR="00C43E0C" w:rsidRDefault="00C43E0C" w:rsidP="008643D8">
      <w:pPr>
        <w:autoSpaceDE w:val="0"/>
        <w:rPr>
          <w:rFonts w:ascii="Times" w:eastAsia="DejaVuSans" w:hAnsi="Times" w:cs="Lucidasans"/>
          <w:color w:val="auto"/>
          <w:lang w:val="es-ES" w:eastAsia="es-ES" w:bidi="ar-SA"/>
        </w:rPr>
      </w:pPr>
    </w:p>
    <w:p w:rsidR="00C43E0C" w:rsidRPr="008643D8" w:rsidRDefault="0057788D">
      <w:pPr>
        <w:pStyle w:val="Standard"/>
        <w:tabs>
          <w:tab w:val="left" w:pos="567"/>
        </w:tabs>
        <w:jc w:val="both"/>
        <w:rPr>
          <w:rFonts w:ascii="Arial" w:eastAsia="Arial" w:hAnsi="Arial" w:cs="Arial"/>
          <w:color w:val="auto"/>
          <w:sz w:val="20"/>
          <w:szCs w:val="20"/>
          <w:lang w:val="es-ES"/>
        </w:rPr>
      </w:pPr>
      <w:r w:rsidRPr="008643D8">
        <w:rPr>
          <w:rFonts w:ascii="Arial" w:eastAsia="Arial" w:hAnsi="Arial" w:cs="Arial"/>
          <w:color w:val="auto"/>
          <w:sz w:val="20"/>
          <w:szCs w:val="20"/>
          <w:lang w:val="es-ES"/>
        </w:rPr>
        <w:t>Para la imposición de este tipo de penalidades se sustanciará un procedimiento en el que necesariamente tendrá lugar el trámite de alegaciones al contratista.</w:t>
      </w:r>
    </w:p>
    <w:p w:rsidR="00C43E0C" w:rsidRDefault="00C43E0C">
      <w:pPr>
        <w:pStyle w:val="Standard"/>
        <w:tabs>
          <w:tab w:val="left" w:pos="567"/>
        </w:tabs>
        <w:jc w:val="both"/>
        <w:rPr>
          <w:rFonts w:ascii="NewGoT" w:eastAsia="Arial" w:hAnsi="NewGoT" w:cs="Arial"/>
          <w:color w:val="auto"/>
          <w:lang w:val="es-ES"/>
        </w:rPr>
      </w:pPr>
      <w:bookmarkStart w:id="2" w:name="_GoBack"/>
      <w:bookmarkEnd w:id="2"/>
    </w:p>
    <w:sectPr w:rsidR="00C43E0C">
      <w:headerReference w:type="default" r:id="rId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88D" w:rsidRDefault="0057788D">
      <w:r>
        <w:separator/>
      </w:r>
    </w:p>
  </w:endnote>
  <w:endnote w:type="continuationSeparator" w:id="0">
    <w:p w:rsidR="0057788D" w:rsidRDefault="0057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GotT">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ource Sans Pro">
    <w:panose1 w:val="020B0503030403020204"/>
    <w:charset w:val="00"/>
    <w:family w:val="swiss"/>
    <w:pitch w:val="variable"/>
    <w:sig w:usb0="20000007" w:usb1="00000001" w:usb2="00000000" w:usb3="00000000" w:csb0="00000193" w:csb1="00000000"/>
  </w:font>
  <w:font w:name="Noto Sans HK">
    <w:panose1 w:val="00000000000000000000"/>
    <w:charset w:val="80"/>
    <w:family w:val="swiss"/>
    <w:notTrueType/>
    <w:pitch w:val="variable"/>
    <w:sig w:usb0="20000287" w:usb1="2ADF3C10" w:usb2="00000016" w:usb3="00000000" w:csb0="00120107" w:csb1="00000000"/>
  </w:font>
  <w:font w:name="Source Sans Pro Semibold">
    <w:altName w:val="DejaVu Sans"/>
    <w:panose1 w:val="020B0603030403020204"/>
    <w:charset w:val="00"/>
    <w:family w:val="swiss"/>
    <w:pitch w:val="variable"/>
    <w:sig w:usb0="20000007" w:usb1="00000001" w:usb2="00000000" w:usb3="00000000" w:csb0="00000193" w:csb1="00000000"/>
  </w:font>
  <w:font w:name="Noto Sans HK Medium">
    <w:panose1 w:val="00000000000000000000"/>
    <w:charset w:val="80"/>
    <w:family w:val="swiss"/>
    <w:notTrueType/>
    <w:pitch w:val="variable"/>
    <w:sig w:usb0="20000287" w:usb1="2ADF3C10" w:usb2="00000016" w:usb3="00000000" w:csb0="00120107" w:csb1="00000000"/>
  </w:font>
  <w:font w:name="Arial">
    <w:panose1 w:val="020B0604020202020204"/>
    <w:charset w:val="00"/>
    <w:family w:val="swiss"/>
    <w:pitch w:val="variable"/>
    <w:sig w:usb0="E0002EFF" w:usb1="C000785B" w:usb2="00000009" w:usb3="00000000" w:csb0="000001FF" w:csb1="00000000"/>
  </w:font>
  <w:font w:name="NewGoT">
    <w:altName w:val="Times New Roman"/>
    <w:charset w:val="00"/>
    <w:family w:val="roman"/>
    <w:pitch w:val="default"/>
  </w:font>
  <w:font w:name="Times">
    <w:altName w:val="Times New Roman"/>
    <w:panose1 w:val="02020603050405020304"/>
    <w:charset w:val="00"/>
    <w:family w:val="roman"/>
    <w:pitch w:val="variable"/>
  </w:font>
  <w:font w:name="DejaVuSans">
    <w:altName w:val="Calibri"/>
    <w:charset w:val="00"/>
    <w:family w:val="auto"/>
    <w:pitch w:val="variable"/>
  </w:font>
  <w:font w:name="Lucidasans">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346" w:rsidRDefault="0057788D">
    <w:pPr>
      <w:pStyle w:val="Piedepgina"/>
      <w:jc w:val="center"/>
    </w:pPr>
    <w:r>
      <w:rPr>
        <w:u w:val="single"/>
      </w:rPr>
      <w:fldChar w:fldCharType="begin"/>
    </w:r>
    <w:r>
      <w:rPr>
        <w:u w:val="single"/>
      </w:rPr>
      <w:instrText xml:space="preserve"> PAGE </w:instrText>
    </w:r>
    <w:r>
      <w:rPr>
        <w:u w:val="single"/>
      </w:rPr>
      <w:fldChar w:fldCharType="separate"/>
    </w:r>
    <w:r w:rsidR="008D7571">
      <w:rPr>
        <w:noProof/>
        <w:u w:val="single"/>
      </w:rPr>
      <w:t>2</w:t>
    </w:r>
    <w:r>
      <w:rPr>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88D" w:rsidRDefault="0057788D">
      <w:r>
        <w:separator/>
      </w:r>
    </w:p>
  </w:footnote>
  <w:footnote w:type="continuationSeparator" w:id="0">
    <w:p w:rsidR="0057788D" w:rsidRDefault="0057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346" w:rsidRDefault="005F21AE">
    <w:pPr>
      <w:pStyle w:val="Encabezado"/>
    </w:pPr>
    <w:r>
      <w:rPr>
        <w:noProof/>
        <w:lang w:val="es-ES" w:eastAsia="es-ES" w:bidi="ar-SA"/>
      </w:rPr>
      <mc:AlternateContent>
        <mc:Choice Requires="wps">
          <w:drawing>
            <wp:anchor distT="0" distB="360045" distL="114300" distR="114300" simplePos="0" relativeHeight="251661312" behindDoc="0" locked="0" layoutInCell="1" allowOverlap="1" wp14:anchorId="0AC90E80" wp14:editId="5E3DF43A">
              <wp:simplePos x="0" y="0"/>
              <wp:positionH relativeFrom="column">
                <wp:posOffset>3667125</wp:posOffset>
              </wp:positionH>
              <wp:positionV relativeFrom="page">
                <wp:posOffset>536575</wp:posOffset>
              </wp:positionV>
              <wp:extent cx="2346960" cy="791845"/>
              <wp:effectExtent l="0" t="0" r="15240" b="825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rsidR="005F21AE" w:rsidRDefault="005F21AE" w:rsidP="005F21AE">
                          <w:pPr>
                            <w:pStyle w:val="Cabecera-Consejera"/>
                          </w:pPr>
                          <w:r>
                            <w:t>Consejería de Salud y Familias</w:t>
                          </w:r>
                        </w:p>
                        <w:p w:rsidR="005F21AE" w:rsidRPr="00761B0C" w:rsidRDefault="005F21AE" w:rsidP="005F21AE">
                          <w:pPr>
                            <w:pStyle w:val="Cabecera-Centrodirectivo"/>
                          </w:pPr>
                          <w:r>
                            <w:t xml:space="preserve">Servicio Andaluz de Salud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C90E80" id="_x0000_t202" coordsize="21600,21600" o:spt="202" path="m,l,21600r21600,l21600,xe">
              <v:stroke joinstyle="miter"/>
              <v:path gradientshapeok="t" o:connecttype="rect"/>
            </v:shapetype>
            <v:shape id="Cuadro de texto 3" o:spid="_x0000_s1026" type="#_x0000_t202" style="position:absolute;margin-left:288.75pt;margin-top:42.25pt;width:184.8pt;height:62.35pt;z-index:251661312;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" filled="f" stroked="f" strokeweight=".5pt">
              <v:textbox inset="0,0,0,0">
                <w:txbxContent>
                  <w:p w:rsidR="005F21AE" w:rsidRDefault="005F21AE" w:rsidP="005F21AE">
                    <w:pPr>
                      <w:pStyle w:val="Cabecera-Consejera"/>
                    </w:pPr>
                    <w:r>
                      <w:t>Consejería de Salud y Familias</w:t>
                    </w:r>
                  </w:p>
                  <w:p w:rsidR="005F21AE" w:rsidRPr="00761B0C" w:rsidRDefault="005F21AE" w:rsidP="005F21AE">
                    <w:pPr>
                      <w:pStyle w:val="Cabecera-Centrodirectivo"/>
                    </w:pPr>
                    <w:r>
                      <w:t xml:space="preserve">Servicio Andaluz de Salud </w:t>
                    </w:r>
                  </w:p>
                </w:txbxContent>
              </v:textbox>
              <w10:wrap type="topAndBottom" anchory="page"/>
            </v:shape>
          </w:pict>
        </mc:Fallback>
      </mc:AlternateContent>
    </w:r>
    <w:r>
      <w:rPr>
        <w:noProof/>
        <w:lang w:val="es-ES" w:eastAsia="es-ES" w:bidi="ar-SA"/>
      </w:rPr>
      <w:drawing>
        <wp:anchor distT="0" distB="0" distL="114300" distR="114300" simplePos="0" relativeHeight="251659264" behindDoc="0" locked="1" layoutInCell="1" allowOverlap="1" wp14:anchorId="7115C035" wp14:editId="6A7B9FFF">
          <wp:simplePos x="0" y="0"/>
          <wp:positionH relativeFrom="margin">
            <wp:align>left</wp:align>
          </wp:positionH>
          <wp:positionV relativeFrom="topMargin">
            <wp:posOffset>447675</wp:posOffset>
          </wp:positionV>
          <wp:extent cx="1419225" cy="877570"/>
          <wp:effectExtent l="0" t="0" r="9525" b="0"/>
          <wp:wrapThrough wrapText="bothSides">
            <wp:wrapPolygon edited="0">
              <wp:start x="9568" y="0"/>
              <wp:lineTo x="5509" y="15004"/>
              <wp:lineTo x="0" y="18287"/>
              <wp:lineTo x="0" y="21100"/>
              <wp:lineTo x="21455" y="21100"/>
              <wp:lineTo x="21455" y="18287"/>
              <wp:lineTo x="20295" y="16880"/>
              <wp:lineTo x="15946" y="15004"/>
              <wp:lineTo x="12467" y="0"/>
              <wp:lineTo x="9568" y="0"/>
            </wp:wrapPolygon>
          </wp:wrapThrough>
          <wp:docPr id="2"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87757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val="1"/>
                    </a:ext>
                  </a:extLst>
                </pic:spPr>
              </pic:pic>
            </a:graphicData>
          </a:graphic>
          <wp14:sizeRelH relativeFrom="margin">
            <wp14:pctWidth>0</wp14:pctWidth>
          </wp14:sizeRelH>
          <wp14:sizeRelV relativeFrom="margin">
            <wp14:pctHeight>0</wp14:pctHeight>
          </wp14:sizeRelV>
        </wp:anchor>
      </w:drawing>
    </w:r>
  </w:p>
  <w:p w:rsidR="005C3346" w:rsidRDefault="008D75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BD7B97"/>
    <w:multiLevelType w:val="multilevel"/>
    <w:tmpl w:val="2A2061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589A4CED"/>
    <w:multiLevelType w:val="hybridMultilevel"/>
    <w:tmpl w:val="7E7CEFFC"/>
    <w:lvl w:ilvl="0" w:tplc="A9CA15AA">
      <w:start w:val="1"/>
      <w:numFmt w:val="lowerRoman"/>
      <w:lvlText w:val="%1)"/>
      <w:lvlJc w:val="left"/>
      <w:pPr>
        <w:ind w:left="1004" w:hanging="72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713728A8"/>
    <w:multiLevelType w:val="multilevel"/>
    <w:tmpl w:val="E104D5A6"/>
    <w:lvl w:ilvl="0">
      <w:numFmt w:val="bullet"/>
      <w:lvlText w:val="-"/>
      <w:lvlJc w:val="left"/>
      <w:pPr>
        <w:ind w:left="1080" w:hanging="360"/>
      </w:pPr>
      <w:rPr>
        <w:rFonts w:ascii="NewsGotT" w:eastAsia="Times New Roman" w:hAnsi="NewsGotT" w:cs="Times New Roma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E0C"/>
    <w:rsid w:val="00062D15"/>
    <w:rsid w:val="00150776"/>
    <w:rsid w:val="001C21BF"/>
    <w:rsid w:val="00413684"/>
    <w:rsid w:val="0057788D"/>
    <w:rsid w:val="005F21AE"/>
    <w:rsid w:val="006819F0"/>
    <w:rsid w:val="00785CB3"/>
    <w:rsid w:val="00833865"/>
    <w:rsid w:val="008643D8"/>
    <w:rsid w:val="008D7571"/>
    <w:rsid w:val="00B635D3"/>
    <w:rsid w:val="00BB3891"/>
    <w:rsid w:val="00C43E0C"/>
    <w:rsid w:val="00D220A1"/>
    <w:rsid w:val="00D81097"/>
    <w:rsid w:val="00DE10AC"/>
    <w:rsid w:val="00E53720"/>
    <w:rsid w:val="00EC5B12"/>
    <w:rsid w:val="00EC6C2B"/>
    <w:rsid w:val="00EF061D"/>
    <w:rsid w:val="00EF1F2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EF13A9"/>
  <w15:docId w15:val="{45B72F02-C10D-46C2-95D7-15877291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egoe UI" w:hAnsi="Calibri" w:cs="Tahoma"/>
        <w:color w:val="000000"/>
        <w:kern w:val="3"/>
        <w:sz w:val="24"/>
        <w:szCs w:val="24"/>
        <w:lang w:val="en-US" w:eastAsia="en-US" w:bidi="en-US"/>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pPr>
  </w:style>
  <w:style w:type="paragraph" w:customStyle="1" w:styleId="TableContents">
    <w:name w:val="Table Contents"/>
    <w:basedOn w:val="Standard"/>
    <w:pPr>
      <w:suppressLineNumbers/>
    </w:pPr>
  </w:style>
  <w:style w:type="paragraph" w:styleId="Piedepgina">
    <w:name w:val="footer"/>
    <w:basedOn w:val="Standard"/>
    <w:pPr>
      <w:suppressLineNumbers/>
      <w:tabs>
        <w:tab w:val="center" w:pos="4819"/>
        <w:tab w:val="right" w:pos="9638"/>
      </w:tabs>
    </w:pPr>
  </w:style>
  <w:style w:type="paragraph" w:styleId="Encabezado">
    <w:name w:val="header"/>
    <w:basedOn w:val="Standard"/>
    <w:pPr>
      <w:suppressLineNumbers/>
      <w:tabs>
        <w:tab w:val="center" w:pos="4819"/>
        <w:tab w:val="right" w:pos="9638"/>
      </w:tabs>
    </w:pPr>
  </w:style>
  <w:style w:type="character" w:customStyle="1" w:styleId="BulletSymbols">
    <w:name w:val="Bullet Symbols"/>
    <w:rPr>
      <w:rFonts w:ascii="OpenSymbol" w:eastAsia="OpenSymbol" w:hAnsi="OpenSymbol" w:cs="OpenSymbol"/>
    </w:rPr>
  </w:style>
  <w:style w:type="character" w:customStyle="1" w:styleId="EncabezadoCar">
    <w:name w:val="Encabezado Car"/>
    <w:basedOn w:val="Fuentedeprrafopredeter"/>
  </w:style>
  <w:style w:type="paragraph" w:customStyle="1" w:styleId="Cabecera-Centrodirectivo">
    <w:name w:val="Cabecera - Centro directivo"/>
    <w:autoRedefine/>
    <w:qFormat/>
    <w:rsid w:val="005F21AE"/>
    <w:pPr>
      <w:widowControl/>
      <w:autoSpaceDN/>
      <w:spacing w:before="40"/>
      <w:textAlignment w:val="auto"/>
    </w:pPr>
    <w:rPr>
      <w:rFonts w:ascii="Source Sans Pro" w:eastAsia="Noto Sans HK" w:hAnsi="Source Sans Pro" w:cs="Times New Roman"/>
      <w:color w:val="auto"/>
      <w:kern w:val="0"/>
      <w:sz w:val="18"/>
      <w:szCs w:val="16"/>
      <w:lang w:val="es-ES" w:bidi="ar-SA"/>
    </w:rPr>
  </w:style>
  <w:style w:type="paragraph" w:customStyle="1" w:styleId="Cabecera-Consejera">
    <w:name w:val="Cabecera - Consejería"/>
    <w:next w:val="Cabecera-Centrodirectivo"/>
    <w:autoRedefine/>
    <w:qFormat/>
    <w:rsid w:val="005F21AE"/>
    <w:pPr>
      <w:widowControl/>
      <w:autoSpaceDN/>
      <w:textAlignment w:val="auto"/>
    </w:pPr>
    <w:rPr>
      <w:rFonts w:ascii="Source Sans Pro Semibold" w:eastAsia="Noto Sans HK Medium" w:hAnsi="Source Sans Pro Semibold" w:cs="Times New Roman"/>
      <w:color w:val="auto"/>
      <w:kern w:val="0"/>
      <w:sz w:val="18"/>
      <w:szCs w:val="17"/>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721</Words>
  <Characters>3967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Cuevas Lorite, María José</dc:creator>
  <cp:lastModifiedBy>Cuevas Lorite, Maria Jose</cp:lastModifiedBy>
  <cp:revision>10</cp:revision>
  <dcterms:created xsi:type="dcterms:W3CDTF">2023-06-16T06:50:00Z</dcterms:created>
  <dcterms:modified xsi:type="dcterms:W3CDTF">2023-06-16T07:21:00Z</dcterms:modified>
</cp:coreProperties>
</file>